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After sonicating the DNA we need to do a quick quality check on a gel.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Making a 1.3% agarose gel: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100 ml 1X TAE in a flask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1.3 g agarose mixed into TAE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ul SybrSafe mixed into Agarose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Pour into mold with 15 well comb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Allow gel to stiffen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Loading the Gel: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ul O’GeneRuler 100 bp Ladder in First and Last Well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 ul sample mix with 5 ul loading dye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Load 25 ul dye/sample in each 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Running gel: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120 v for 30 mins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Visualize with Dark reader with orange filter.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Image for notebook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Order of gel lanes top to bottom = left to right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Nf05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Nf07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Nf12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Nf15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Hl24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Hl26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Hl28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Hl31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Sn01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Sn04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Sn08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Sn15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